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19" w:rsidRPr="00166306" w:rsidRDefault="00A00211" w:rsidP="00166306">
      <w:pPr>
        <w:pStyle w:val="ComunicatoEXPOData"/>
        <w:rPr>
          <w:smallCaps/>
        </w:rPr>
      </w:pPr>
      <w:r>
        <w:t>November 2016</w:t>
      </w:r>
      <w:bookmarkStart w:id="0" w:name="_GoBack"/>
      <w:bookmarkEnd w:id="0"/>
    </w:p>
    <w:p w:rsidR="00DD0902" w:rsidRPr="00166306" w:rsidRDefault="009D0E6D" w:rsidP="00DD0902">
      <w:pPr>
        <w:pStyle w:val="ComunicatoEXPOTitolo"/>
        <w:rPr>
          <w:color w:val="76777B"/>
        </w:rPr>
      </w:pPr>
      <w:r w:rsidRPr="009D0E6D">
        <w:rPr>
          <w:color w:val="76777B"/>
        </w:rPr>
        <w:t>CAPTIVATING LIGHT FORMS</w:t>
      </w:r>
    </w:p>
    <w:p w:rsidR="00DD0902" w:rsidRPr="00166306" w:rsidRDefault="009D0E6D" w:rsidP="00DD0902">
      <w:pPr>
        <w:pStyle w:val="ComunicatoEXPOSottotitolo"/>
        <w:rPr>
          <w:color w:val="76777B"/>
        </w:rPr>
      </w:pPr>
      <w:r w:rsidRPr="009D0E6D">
        <w:rPr>
          <w:color w:val="76777B"/>
        </w:rPr>
        <w:t>The SATURNO range of floodlights is updated with LED versions to meet the most demanding lighting requirements.</w:t>
      </w:r>
    </w:p>
    <w:p w:rsidR="009D0E6D" w:rsidRPr="009D0E6D" w:rsidRDefault="009D0E6D" w:rsidP="009D0E6D">
      <w:pPr>
        <w:pStyle w:val="ComunicatoEXPOTesto"/>
        <w:rPr>
          <w:color w:val="76777B"/>
          <w:lang w:val="en-GB"/>
        </w:rPr>
      </w:pPr>
      <w:r w:rsidRPr="009D0E6D">
        <w:rPr>
          <w:color w:val="76777B"/>
        </w:rPr>
        <w:drawing>
          <wp:anchor distT="0" distB="7239" distL="114300" distR="114300" simplePos="0" relativeHeight="251659264" behindDoc="0" locked="0" layoutInCell="1" allowOverlap="1" wp14:anchorId="245336B2" wp14:editId="27660AA8">
            <wp:simplePos x="0" y="0"/>
            <wp:positionH relativeFrom="column">
              <wp:posOffset>4098290</wp:posOffset>
            </wp:positionH>
            <wp:positionV relativeFrom="paragraph">
              <wp:posOffset>89535</wp:posOffset>
            </wp:positionV>
            <wp:extent cx="2011680" cy="2999105"/>
            <wp:effectExtent l="19050" t="0" r="7620" b="0"/>
            <wp:wrapSquare wrapText="bothSides"/>
            <wp:docPr id="1" name="Immagine 1" descr="_D2X0069.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descr="_D2X0069.jpg"/>
                    <pic:cNvPicPr>
                      <a:picLocks noChangeArrowheads="1"/>
                    </pic:cNvPicPr>
                  </pic:nvPicPr>
                  <pic:blipFill>
                    <a:blip r:embed="rId8"/>
                    <a:srcRect/>
                    <a:stretch>
                      <a:fillRect/>
                    </a:stretch>
                  </pic:blipFill>
                  <pic:spPr bwMode="auto">
                    <a:xfrm>
                      <a:off x="0" y="0"/>
                      <a:ext cx="2011680" cy="2999105"/>
                    </a:xfrm>
                    <a:prstGeom prst="rect">
                      <a:avLst/>
                    </a:prstGeom>
                    <a:noFill/>
                  </pic:spPr>
                </pic:pic>
              </a:graphicData>
            </a:graphic>
          </wp:anchor>
        </w:drawing>
      </w:r>
      <w:r w:rsidRPr="009D0E6D">
        <w:rPr>
          <w:color w:val="76777B"/>
          <w:lang w:val="en-GB"/>
        </w:rPr>
        <w:t xml:space="preserve">The SATURNO architectural floodlights in die-cast aluminium </w:t>
      </w:r>
      <w:r w:rsidRPr="009D0E6D">
        <w:rPr>
          <w:b/>
          <w:color w:val="76777B"/>
          <w:lang w:val="en-GB"/>
        </w:rPr>
        <w:t>are distinguished by their small size and innovative design</w:t>
      </w:r>
      <w:r w:rsidRPr="009D0E6D">
        <w:rPr>
          <w:color w:val="76777B"/>
          <w:lang w:val="en-GB"/>
        </w:rPr>
        <w:t xml:space="preserve">, that makes them suitable for installation in prestigious architectural contexts. </w:t>
      </w:r>
    </w:p>
    <w:p w:rsidR="009D0E6D" w:rsidRPr="009D0E6D" w:rsidRDefault="009D0E6D" w:rsidP="009D0E6D">
      <w:pPr>
        <w:pStyle w:val="ComunicatoEXPOTesto"/>
        <w:rPr>
          <w:color w:val="76777B"/>
          <w:lang w:val="en-GB"/>
        </w:rPr>
      </w:pPr>
      <w:r w:rsidRPr="009D0E6D">
        <w:rPr>
          <w:color w:val="76777B"/>
          <w:lang w:val="en-GB"/>
        </w:rPr>
        <w:t xml:space="preserve">Ideal for </w:t>
      </w:r>
      <w:r w:rsidRPr="009D0E6D">
        <w:rPr>
          <w:b/>
          <w:color w:val="76777B"/>
          <w:lang w:val="en-GB"/>
        </w:rPr>
        <w:t>emphasising architectural details</w:t>
      </w:r>
      <w:r w:rsidRPr="009D0E6D">
        <w:rPr>
          <w:color w:val="76777B"/>
          <w:lang w:val="en-GB"/>
        </w:rPr>
        <w:t xml:space="preserve"> (indoors and outdoors) and for creating spectacular effects with the aid of colour too, the SATURNO floodlights are available with different optics (symmetrical, asymmetrical, circular, street) and light sources (discharge, fluorescent, single-colour LED or RGB).</w:t>
      </w:r>
    </w:p>
    <w:p w:rsidR="009D0E6D" w:rsidRPr="009D0E6D" w:rsidRDefault="009D0E6D" w:rsidP="009D0E6D">
      <w:pPr>
        <w:pStyle w:val="ComunicatoEXPOTesto"/>
        <w:rPr>
          <w:color w:val="76777B"/>
          <w:lang w:val="en-GB"/>
        </w:rPr>
      </w:pPr>
      <w:r w:rsidRPr="009D0E6D">
        <w:rPr>
          <w:color w:val="76777B"/>
          <w:lang w:val="en-GB"/>
        </w:rPr>
        <w:t xml:space="preserve">The combination of materials (die-cast aluminium) and technologies used ensures the </w:t>
      </w:r>
      <w:r w:rsidRPr="009D0E6D">
        <w:rPr>
          <w:b/>
          <w:color w:val="76777B"/>
          <w:lang w:val="en-GB"/>
        </w:rPr>
        <w:t>maximum reliability of the product</w:t>
      </w:r>
      <w:r w:rsidRPr="009D0E6D">
        <w:rPr>
          <w:color w:val="76777B"/>
          <w:lang w:val="en-GB"/>
        </w:rPr>
        <w:t xml:space="preserve"> and a </w:t>
      </w:r>
      <w:r w:rsidRPr="009D0E6D">
        <w:rPr>
          <w:b/>
          <w:color w:val="76777B"/>
          <w:lang w:val="en-GB"/>
        </w:rPr>
        <w:t>longer lifespan</w:t>
      </w:r>
      <w:r w:rsidRPr="009D0E6D">
        <w:rPr>
          <w:color w:val="76777B"/>
          <w:lang w:val="en-GB"/>
        </w:rPr>
        <w:t>.  The choice of lamp, the design of the product, and the devices for dynamic temperature control offer an optimum light flux and constant light emission.</w:t>
      </w:r>
    </w:p>
    <w:p w:rsidR="009D0E6D" w:rsidRPr="009D0E6D" w:rsidRDefault="009D0E6D" w:rsidP="009D0E6D">
      <w:pPr>
        <w:pStyle w:val="ComunicatoEXPOTesto"/>
        <w:rPr>
          <w:color w:val="76777B"/>
          <w:lang w:val="en-GB"/>
        </w:rPr>
      </w:pPr>
      <w:r w:rsidRPr="009D0E6D">
        <w:rPr>
          <w:color w:val="76777B"/>
          <w:lang w:val="en-GB"/>
        </w:rPr>
        <w:t xml:space="preserve">The product electronics permit various levels of complexity, from basic </w:t>
      </w:r>
      <w:r w:rsidRPr="009D0E6D">
        <w:rPr>
          <w:b/>
          <w:color w:val="76777B"/>
          <w:lang w:val="en-GB"/>
        </w:rPr>
        <w:t>stand-alone management</w:t>
      </w:r>
      <w:r w:rsidRPr="009D0E6D">
        <w:rPr>
          <w:color w:val="76777B"/>
          <w:lang w:val="en-GB"/>
        </w:rPr>
        <w:t xml:space="preserve"> to a form of management with </w:t>
      </w:r>
      <w:r w:rsidRPr="009D0E6D">
        <w:rPr>
          <w:b/>
          <w:color w:val="76777B"/>
          <w:lang w:val="en-GB"/>
        </w:rPr>
        <w:t>a push-button for the scenes</w:t>
      </w:r>
      <w:r w:rsidRPr="009D0E6D">
        <w:rPr>
          <w:color w:val="76777B"/>
          <w:lang w:val="en-GB"/>
        </w:rPr>
        <w:t xml:space="preserve">, culminating in the most advanced form - </w:t>
      </w:r>
      <w:r w:rsidRPr="009D0E6D">
        <w:rPr>
          <w:b/>
          <w:color w:val="76777B"/>
          <w:lang w:val="en-GB"/>
        </w:rPr>
        <w:t>programming with a DMX control unit</w:t>
      </w:r>
      <w:r w:rsidRPr="009D0E6D">
        <w:rPr>
          <w:color w:val="76777B"/>
          <w:lang w:val="en-GB"/>
        </w:rPr>
        <w:t xml:space="preserve">. </w:t>
      </w:r>
    </w:p>
    <w:p w:rsidR="009D0E6D" w:rsidRPr="009D0E6D" w:rsidRDefault="009D0E6D" w:rsidP="009D0E6D">
      <w:pPr>
        <w:pStyle w:val="ComunicatoEXPOTesto"/>
        <w:rPr>
          <w:color w:val="76777B"/>
          <w:lang w:val="en-GB"/>
        </w:rPr>
      </w:pPr>
      <w:r w:rsidRPr="009D0E6D">
        <w:rPr>
          <w:color w:val="76777B"/>
          <w:lang w:val="en-GB"/>
        </w:rPr>
        <w:t>The DMX control unit, with LED display and icon navigation, requires a 12V AC power supply. It can command up to 20 LED RGB devices via the DMX protocol.</w:t>
      </w:r>
    </w:p>
    <w:p w:rsidR="009D0E6D" w:rsidRPr="009D0E6D" w:rsidRDefault="009D0E6D" w:rsidP="009D0E6D">
      <w:pPr>
        <w:pStyle w:val="ComunicatoEXPOTesto"/>
        <w:rPr>
          <w:color w:val="76777B"/>
          <w:lang w:val="en-GB"/>
        </w:rPr>
      </w:pPr>
      <w:r w:rsidRPr="009D0E6D">
        <w:rPr>
          <w:color w:val="76777B"/>
          <w:lang w:val="en-GB"/>
        </w:rPr>
        <w:t>In the case of white light, DMX management lets you choose different levels of light intensity and transitions for each single floodlight.</w:t>
      </w:r>
    </w:p>
    <w:p w:rsidR="00DD0902" w:rsidRPr="009D0E6D" w:rsidRDefault="009D0E6D" w:rsidP="009D0E6D">
      <w:pPr>
        <w:pStyle w:val="ComunicatoEXPOTesto"/>
        <w:rPr>
          <w:color w:val="76777B"/>
        </w:rPr>
      </w:pPr>
      <w:r w:rsidRPr="009D0E6D">
        <w:rPr>
          <w:color w:val="76777B"/>
          <w:lang w:val="en-GB"/>
        </w:rPr>
        <w:t>Equipped with a pointer that defines the degrees of tilt, the floodlights can be freely orientated on their two axes thanks to the sturdy central joint and effective locking system</w:t>
      </w:r>
      <w:r w:rsidRPr="009D0E6D">
        <w:rPr>
          <w:color w:val="76777B"/>
          <w:lang w:val="en-US"/>
        </w:rPr>
        <w:t>.</w:t>
      </w:r>
    </w:p>
    <w:sectPr w:rsidR="00DD0902" w:rsidRPr="009D0E6D" w:rsidSect="00166306">
      <w:headerReference w:type="default" r:id="rId9"/>
      <w:footerReference w:type="default" r:id="rId10"/>
      <w:pgSz w:w="11906" w:h="16838"/>
      <w:pgMar w:top="2155" w:right="1134" w:bottom="1871" w:left="1134"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EBB" w:rsidRDefault="00F45EBB" w:rsidP="006F1F2E">
      <w:r>
        <w:separator/>
      </w:r>
    </w:p>
  </w:endnote>
  <w:endnote w:type="continuationSeparator" w:id="0">
    <w:p w:rsidR="00F45EBB" w:rsidRDefault="00F45EBB" w:rsidP="006F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0A" w:rsidRPr="00A3444C" w:rsidRDefault="00D37198" w:rsidP="00442FE0">
    <w:pPr>
      <w:pStyle w:val="Pidipagina"/>
      <w:ind w:left="3261"/>
      <w:rPr>
        <w:rFonts w:ascii="Segoe UI" w:hAnsi="Segoe UI" w:cs="Segoe UI"/>
        <w:spacing w:val="20"/>
        <w:sz w:val="16"/>
        <w:szCs w:val="16"/>
      </w:rPr>
    </w:pPr>
    <w:r>
      <w:rPr>
        <w:noProof/>
      </w:rPr>
      <mc:AlternateContent>
        <mc:Choice Requires="wps">
          <w:drawing>
            <wp:anchor distT="0" distB="0" distL="114300" distR="114300" simplePos="0" relativeHeight="251652096" behindDoc="0" locked="0" layoutInCell="1" allowOverlap="1" wp14:anchorId="43EE8948" wp14:editId="31156420">
              <wp:simplePos x="0" y="0"/>
              <wp:positionH relativeFrom="page">
                <wp:posOffset>3310890</wp:posOffset>
              </wp:positionH>
              <wp:positionV relativeFrom="page">
                <wp:posOffset>9606280</wp:posOffset>
              </wp:positionV>
              <wp:extent cx="2457450" cy="1076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1"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2" w:history="1">
                            <w:r w:rsidRPr="00D37198">
                              <w:rPr>
                                <w:rStyle w:val="Collegamentoipertestuale"/>
                                <w:rFonts w:ascii="Segoe UI Light" w:hAnsi="Segoe UI Light" w:cs="Segoe UI Semilight"/>
                                <w:color w:val="76777B"/>
                                <w:sz w:val="18"/>
                                <w:szCs w:val="18"/>
                                <w:u w:val="none"/>
                              </w:rPr>
                              <w:t>pressrelations@gewiss.com</w:t>
                            </w:r>
                          </w:hyperlink>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EE8948" id="_x0000_t202" coordsize="21600,21600" o:spt="202" path="m,l,21600r21600,l21600,xe">
              <v:stroke joinstyle="miter"/>
              <v:path gradientshapeok="t" o:connecttype="rect"/>
            </v:shapetype>
            <v:shape id="_x0000_s1028" type="#_x0000_t202" style="position:absolute;left:0;text-align:left;margin-left:260.7pt;margin-top:756.4pt;width:193.5pt;height:8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" filled="f" stroked="f">
              <v:textbox inset="0,0,0,0">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3"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4" w:history="1">
                      <w:r w:rsidRPr="00D37198">
                        <w:rPr>
                          <w:rStyle w:val="Collegamentoipertestuale"/>
                          <w:rFonts w:ascii="Segoe UI Light" w:hAnsi="Segoe UI Light" w:cs="Segoe UI Semilight"/>
                          <w:color w:val="76777B"/>
                          <w:sz w:val="18"/>
                          <w:szCs w:val="18"/>
                          <w:u w:val="none"/>
                        </w:rPr>
                        <w:t>pressrelations@gewiss.com</w:t>
                      </w:r>
                    </w:hyperlink>
                  </w:p>
                </w:txbxContent>
              </v:textbox>
              <w10:wrap anchorx="page" anchory="page"/>
            </v:shape>
          </w:pict>
        </mc:Fallback>
      </mc:AlternateContent>
    </w:r>
    <w:r>
      <w:rPr>
        <w:noProof/>
        <w:color w:val="002C50"/>
      </w:rPr>
      <w:drawing>
        <wp:anchor distT="0" distB="0" distL="114300" distR="114300" simplePos="0" relativeHeight="251677696" behindDoc="0" locked="0" layoutInCell="1" allowOverlap="1" wp14:anchorId="1CAEF8B8" wp14:editId="7F885D31">
          <wp:simplePos x="0" y="0"/>
          <wp:positionH relativeFrom="column">
            <wp:posOffset>1623060</wp:posOffset>
          </wp:positionH>
          <wp:positionV relativeFrom="paragraph">
            <wp:posOffset>-86360</wp:posOffset>
          </wp:positionV>
          <wp:extent cx="251460" cy="251460"/>
          <wp:effectExtent l="0" t="0" r="0" b="0"/>
          <wp:wrapNone/>
          <wp:docPr id="13" name="Immagine 13">
            <a:hlinkClick xmlns:a="http://schemas.openxmlformats.org/drawingml/2006/main" r:id="rId5"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6672" behindDoc="0" locked="0" layoutInCell="1" allowOverlap="1" wp14:anchorId="2D6C2367" wp14:editId="2896F0F9">
          <wp:simplePos x="0" y="0"/>
          <wp:positionH relativeFrom="column">
            <wp:posOffset>1280160</wp:posOffset>
          </wp:positionH>
          <wp:positionV relativeFrom="paragraph">
            <wp:posOffset>-86360</wp:posOffset>
          </wp:positionV>
          <wp:extent cx="251460" cy="251460"/>
          <wp:effectExtent l="0" t="0" r="0" b="0"/>
          <wp:wrapNone/>
          <wp:docPr id="12" name="Immagine 12">
            <a:hlinkClick xmlns:a="http://schemas.openxmlformats.org/drawingml/2006/main" r:id="rId7"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5648" behindDoc="0" locked="0" layoutInCell="1" allowOverlap="1" wp14:anchorId="41A75008" wp14:editId="4AB61900">
          <wp:simplePos x="0" y="0"/>
          <wp:positionH relativeFrom="column">
            <wp:posOffset>946785</wp:posOffset>
          </wp:positionH>
          <wp:positionV relativeFrom="paragraph">
            <wp:posOffset>-86360</wp:posOffset>
          </wp:positionV>
          <wp:extent cx="251460" cy="251460"/>
          <wp:effectExtent l="0" t="0" r="0" b="0"/>
          <wp:wrapNone/>
          <wp:docPr id="11" name="Immagine 11">
            <a:hlinkClick xmlns:a="http://schemas.openxmlformats.org/drawingml/2006/main" r:id="rId9"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4624" behindDoc="0" locked="0" layoutInCell="1" allowOverlap="1" wp14:anchorId="46E9E386" wp14:editId="15CA734F">
          <wp:simplePos x="0" y="0"/>
          <wp:positionH relativeFrom="column">
            <wp:posOffset>641985</wp:posOffset>
          </wp:positionH>
          <wp:positionV relativeFrom="paragraph">
            <wp:posOffset>-86360</wp:posOffset>
          </wp:positionV>
          <wp:extent cx="251460" cy="251460"/>
          <wp:effectExtent l="0" t="0" r="0" b="0"/>
          <wp:wrapNone/>
          <wp:docPr id="10" name="Immagine 10">
            <a:hlinkClick xmlns:a="http://schemas.openxmlformats.org/drawingml/2006/main" r:id="rId11" tooltip="Goog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3600" behindDoc="0" locked="0" layoutInCell="1" allowOverlap="1" wp14:anchorId="12B65932" wp14:editId="78888F2E">
          <wp:simplePos x="0" y="0"/>
          <wp:positionH relativeFrom="column">
            <wp:posOffset>318135</wp:posOffset>
          </wp:positionH>
          <wp:positionV relativeFrom="paragraph">
            <wp:posOffset>-86360</wp:posOffset>
          </wp:positionV>
          <wp:extent cx="251460" cy="251460"/>
          <wp:effectExtent l="0" t="0" r="0" b="0"/>
          <wp:wrapNone/>
          <wp:docPr id="9" name="Immagine 9">
            <a:hlinkClick xmlns:a="http://schemas.openxmlformats.org/drawingml/2006/main" r:id="rId13"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2576" behindDoc="0" locked="0" layoutInCell="1" allowOverlap="1" wp14:anchorId="29E9C482" wp14:editId="08247F2E">
          <wp:simplePos x="0" y="0"/>
          <wp:positionH relativeFrom="column">
            <wp:posOffset>3810</wp:posOffset>
          </wp:positionH>
          <wp:positionV relativeFrom="paragraph">
            <wp:posOffset>-86360</wp:posOffset>
          </wp:positionV>
          <wp:extent cx="251460" cy="251460"/>
          <wp:effectExtent l="0" t="0" r="0" b="0"/>
          <wp:wrapNone/>
          <wp:docPr id="8" name="Immagine 8">
            <a:hlinkClick xmlns:a="http://schemas.openxmlformats.org/drawingml/2006/main" r:id="rId15"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9D0E6D" w:rsidRPr="00A3444C">
      <w:rPr>
        <w:rFonts w:ascii="Segoe UI" w:hAnsi="Segoe UI" w:cs="Segoe UI"/>
        <w:noProof/>
        <w:color w:val="002C50"/>
        <w:spacing w:val="20"/>
        <w:sz w:val="16"/>
        <w:szCs w:val="16"/>
      </w:rPr>
      <w:drawing>
        <wp:anchor distT="0" distB="0" distL="114300" distR="114300" simplePos="0" relativeHeight="251681792" behindDoc="0" locked="0" layoutInCell="1" allowOverlap="1" wp14:anchorId="589851B5" wp14:editId="6683738E">
          <wp:simplePos x="0" y="0"/>
          <wp:positionH relativeFrom="margin">
            <wp:posOffset>5472430</wp:posOffset>
          </wp:positionH>
          <wp:positionV relativeFrom="page">
            <wp:posOffset>9822180</wp:posOffset>
          </wp:positionV>
          <wp:extent cx="648000" cy="648000"/>
          <wp:effectExtent l="0" t="0" r="0" b="0"/>
          <wp:wrapNone/>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without_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EBB" w:rsidRDefault="00F45EBB" w:rsidP="006F1F2E">
      <w:r>
        <w:separator/>
      </w:r>
    </w:p>
  </w:footnote>
  <w:footnote w:type="continuationSeparator" w:id="0">
    <w:p w:rsidR="00F45EBB" w:rsidRDefault="00F45EBB" w:rsidP="006F1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37" w:rsidRDefault="00D37198" w:rsidP="006F1F2E">
    <w:pPr>
      <w:pStyle w:val="Intestazione"/>
    </w:pPr>
    <w:r>
      <w:rPr>
        <w:noProof/>
      </w:rPr>
      <w:drawing>
        <wp:anchor distT="0" distB="0" distL="114300" distR="114300" simplePos="0" relativeHeight="251648000" behindDoc="1" locked="0" layoutInCell="1" allowOverlap="1" wp14:anchorId="11264529" wp14:editId="043802DA">
          <wp:simplePos x="0" y="0"/>
          <wp:positionH relativeFrom="page">
            <wp:align>center</wp:align>
          </wp:positionH>
          <wp:positionV relativeFrom="page">
            <wp:align>center</wp:align>
          </wp:positionV>
          <wp:extent cx="7558767" cy="10692000"/>
          <wp:effectExtent l="0" t="0" r="444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mpio_ComunicatoStamp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r w:rsidR="00EF51D7">
      <w:rPr>
        <w:noProof/>
      </w:rPr>
      <mc:AlternateContent>
        <mc:Choice Requires="wps">
          <w:drawing>
            <wp:anchor distT="0" distB="0" distL="114300" distR="114300" simplePos="0" relativeHeight="251679744" behindDoc="0" locked="0" layoutInCell="1" allowOverlap="1" wp14:anchorId="63060310" wp14:editId="78B0681B">
              <wp:simplePos x="0" y="0"/>
              <wp:positionH relativeFrom="margin">
                <wp:align>left</wp:align>
              </wp:positionH>
              <wp:positionV relativeFrom="page">
                <wp:align>top</wp:align>
              </wp:positionV>
              <wp:extent cx="3085200" cy="10800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60310" id="_x0000_t202" coordsize="21600,21600" o:spt="202" path="m,l,21600r21600,l21600,xe">
              <v:stroke joinstyle="miter"/>
              <v:path gradientshapeok="t" o:connecttype="rect"/>
            </v:shapetype>
            <v:shape id="Text Box 2" o:spid="_x0000_s1026" type="#_x0000_t202" style="position:absolute;margin-left:0;margin-top:0;width:242.95pt;height:85.05pt;z-index:25167974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" filled="f" stroked="f">
              <v:textbox inset="0,0,0,0">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v:textbox>
              <w10:wrap anchorx="margin" anchory="page"/>
            </v:shape>
          </w:pict>
        </mc:Fallback>
      </mc:AlternateContent>
    </w:r>
  </w:p>
  <w:p w:rsidR="00E21F37" w:rsidRDefault="00E21F37" w:rsidP="006F1F2E">
    <w:pPr>
      <w:pStyle w:val="Intestazione"/>
    </w:pPr>
  </w:p>
  <w:p w:rsidR="00E21F37" w:rsidRDefault="00E21F37" w:rsidP="006F1F2E">
    <w:pPr>
      <w:pStyle w:val="Intestazione"/>
    </w:pPr>
  </w:p>
  <w:p w:rsidR="00091260" w:rsidRPr="00447B58" w:rsidRDefault="001C1DF0" w:rsidP="00E21F37">
    <w:pPr>
      <w:jc w:val="center"/>
      <w:rPr>
        <w:rFonts w:ascii="Tahoma" w:hAnsi="Tahoma" w:cs="Tahoma"/>
        <w:b/>
        <w:smallCaps/>
        <w:color w:val="002443"/>
        <w:sz w:val="20"/>
        <w:szCs w:val="21"/>
      </w:rPr>
    </w:pPr>
    <w:r>
      <w:rPr>
        <w:noProof/>
      </w:rPr>
      <mc:AlternateContent>
        <mc:Choice Requires="wps">
          <w:drawing>
            <wp:anchor distT="0" distB="0" distL="114300" distR="114300" simplePos="0" relativeHeight="251646976" behindDoc="0" locked="0" layoutInCell="1" allowOverlap="1" wp14:anchorId="76897A87" wp14:editId="132E9005">
              <wp:simplePos x="0" y="0"/>
              <wp:positionH relativeFrom="page">
                <wp:posOffset>0</wp:posOffset>
              </wp:positionH>
              <wp:positionV relativeFrom="page">
                <wp:posOffset>0</wp:posOffset>
              </wp:positionV>
              <wp:extent cx="3085200" cy="1080000"/>
              <wp:effectExtent l="0" t="0" r="127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wps:txbx>
                    <wps:bodyPr rot="0" vert="horz" wrap="square" lIns="576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97A87" id="_x0000_s1027" type="#_x0000_t202" style="position:absolute;left:0;text-align:left;margin-left:0;margin-top:0;width:242.95pt;height:85.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" filled="f" stroked="f">
              <v:textbox inset="16mm,0,0,0">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17558"/>
    <w:multiLevelType w:val="hybridMultilevel"/>
    <w:tmpl w:val="286E7C2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6160FB3"/>
    <w:multiLevelType w:val="hybridMultilevel"/>
    <w:tmpl w:val="F41698D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EE66F77"/>
    <w:multiLevelType w:val="hybridMultilevel"/>
    <w:tmpl w:val="12465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8F330B"/>
    <w:multiLevelType w:val="hybridMultilevel"/>
    <w:tmpl w:val="E938A1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5D05544"/>
    <w:multiLevelType w:val="hybridMultilevel"/>
    <w:tmpl w:val="D63669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5943058"/>
    <w:multiLevelType w:val="hybridMultilevel"/>
    <w:tmpl w:val="D1EE4A6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E6D"/>
    <w:rsid w:val="00003ED4"/>
    <w:rsid w:val="00030057"/>
    <w:rsid w:val="00034706"/>
    <w:rsid w:val="00042E1A"/>
    <w:rsid w:val="0004578E"/>
    <w:rsid w:val="00061D44"/>
    <w:rsid w:val="00072371"/>
    <w:rsid w:val="00072EF6"/>
    <w:rsid w:val="000834C1"/>
    <w:rsid w:val="00091260"/>
    <w:rsid w:val="0009270B"/>
    <w:rsid w:val="000B169D"/>
    <w:rsid w:val="000B3D21"/>
    <w:rsid w:val="000B6331"/>
    <w:rsid w:val="000C22A8"/>
    <w:rsid w:val="000E5436"/>
    <w:rsid w:val="000F3460"/>
    <w:rsid w:val="001051BB"/>
    <w:rsid w:val="001116BA"/>
    <w:rsid w:val="00112B9C"/>
    <w:rsid w:val="00124D86"/>
    <w:rsid w:val="00144F0F"/>
    <w:rsid w:val="001553A2"/>
    <w:rsid w:val="001577CA"/>
    <w:rsid w:val="00165B5E"/>
    <w:rsid w:val="00166306"/>
    <w:rsid w:val="00171D98"/>
    <w:rsid w:val="00175C81"/>
    <w:rsid w:val="001A1151"/>
    <w:rsid w:val="001A7841"/>
    <w:rsid w:val="001B4207"/>
    <w:rsid w:val="001C1DF0"/>
    <w:rsid w:val="00215C92"/>
    <w:rsid w:val="00220A0F"/>
    <w:rsid w:val="00241098"/>
    <w:rsid w:val="00243779"/>
    <w:rsid w:val="002638AC"/>
    <w:rsid w:val="00272F7A"/>
    <w:rsid w:val="002767F0"/>
    <w:rsid w:val="002822F3"/>
    <w:rsid w:val="002839E1"/>
    <w:rsid w:val="0029433E"/>
    <w:rsid w:val="002A427E"/>
    <w:rsid w:val="002C037E"/>
    <w:rsid w:val="002C53FE"/>
    <w:rsid w:val="002D3768"/>
    <w:rsid w:val="002D3E40"/>
    <w:rsid w:val="002F0ED2"/>
    <w:rsid w:val="002F5CF7"/>
    <w:rsid w:val="002F6F58"/>
    <w:rsid w:val="00300E0D"/>
    <w:rsid w:val="00302FDF"/>
    <w:rsid w:val="00306B2F"/>
    <w:rsid w:val="00307E6B"/>
    <w:rsid w:val="00313946"/>
    <w:rsid w:val="00325719"/>
    <w:rsid w:val="003362E6"/>
    <w:rsid w:val="003429FE"/>
    <w:rsid w:val="00363D27"/>
    <w:rsid w:val="00367216"/>
    <w:rsid w:val="00397158"/>
    <w:rsid w:val="003A3D30"/>
    <w:rsid w:val="003A43B5"/>
    <w:rsid w:val="003A4951"/>
    <w:rsid w:val="003A4A30"/>
    <w:rsid w:val="003B6B71"/>
    <w:rsid w:val="003F4E36"/>
    <w:rsid w:val="00431D3B"/>
    <w:rsid w:val="0043463B"/>
    <w:rsid w:val="00442FE0"/>
    <w:rsid w:val="00447B58"/>
    <w:rsid w:val="004547E6"/>
    <w:rsid w:val="0045733B"/>
    <w:rsid w:val="00466BDB"/>
    <w:rsid w:val="004776DE"/>
    <w:rsid w:val="0048354B"/>
    <w:rsid w:val="00483BB5"/>
    <w:rsid w:val="00483CA0"/>
    <w:rsid w:val="004855E1"/>
    <w:rsid w:val="004C13D4"/>
    <w:rsid w:val="004E4932"/>
    <w:rsid w:val="00501043"/>
    <w:rsid w:val="005165F5"/>
    <w:rsid w:val="00522F21"/>
    <w:rsid w:val="00534AA7"/>
    <w:rsid w:val="00567D13"/>
    <w:rsid w:val="00572365"/>
    <w:rsid w:val="00591572"/>
    <w:rsid w:val="00591687"/>
    <w:rsid w:val="00595705"/>
    <w:rsid w:val="005A717D"/>
    <w:rsid w:val="005A78B2"/>
    <w:rsid w:val="005B1E50"/>
    <w:rsid w:val="005B7AF7"/>
    <w:rsid w:val="005C48B2"/>
    <w:rsid w:val="005D2B0A"/>
    <w:rsid w:val="00606042"/>
    <w:rsid w:val="00627B20"/>
    <w:rsid w:val="00640817"/>
    <w:rsid w:val="00641327"/>
    <w:rsid w:val="0065149F"/>
    <w:rsid w:val="0066349C"/>
    <w:rsid w:val="00666A2E"/>
    <w:rsid w:val="00683AE1"/>
    <w:rsid w:val="006903EE"/>
    <w:rsid w:val="00690BF8"/>
    <w:rsid w:val="006A21D5"/>
    <w:rsid w:val="006D6813"/>
    <w:rsid w:val="006E191C"/>
    <w:rsid w:val="006E43C8"/>
    <w:rsid w:val="006E4583"/>
    <w:rsid w:val="006F17B2"/>
    <w:rsid w:val="006F1F2E"/>
    <w:rsid w:val="0070470B"/>
    <w:rsid w:val="00706992"/>
    <w:rsid w:val="00714493"/>
    <w:rsid w:val="00714826"/>
    <w:rsid w:val="00717992"/>
    <w:rsid w:val="00717AA7"/>
    <w:rsid w:val="0072516F"/>
    <w:rsid w:val="00760061"/>
    <w:rsid w:val="007759B2"/>
    <w:rsid w:val="00792AD6"/>
    <w:rsid w:val="007A3F9C"/>
    <w:rsid w:val="007B1075"/>
    <w:rsid w:val="007D7396"/>
    <w:rsid w:val="008113DE"/>
    <w:rsid w:val="0082606D"/>
    <w:rsid w:val="0083623D"/>
    <w:rsid w:val="008454B5"/>
    <w:rsid w:val="008473B4"/>
    <w:rsid w:val="008705B0"/>
    <w:rsid w:val="00874FD6"/>
    <w:rsid w:val="008B26DD"/>
    <w:rsid w:val="008D2EF8"/>
    <w:rsid w:val="008D6513"/>
    <w:rsid w:val="008E1970"/>
    <w:rsid w:val="009076B7"/>
    <w:rsid w:val="00910D02"/>
    <w:rsid w:val="00924A05"/>
    <w:rsid w:val="00932E66"/>
    <w:rsid w:val="009426CA"/>
    <w:rsid w:val="00955859"/>
    <w:rsid w:val="00987069"/>
    <w:rsid w:val="00995EF3"/>
    <w:rsid w:val="009964F2"/>
    <w:rsid w:val="009977B5"/>
    <w:rsid w:val="009A2291"/>
    <w:rsid w:val="009B65CE"/>
    <w:rsid w:val="009D0E6D"/>
    <w:rsid w:val="009D6844"/>
    <w:rsid w:val="009E2E95"/>
    <w:rsid w:val="009F0998"/>
    <w:rsid w:val="009F563C"/>
    <w:rsid w:val="009F58B8"/>
    <w:rsid w:val="00A00211"/>
    <w:rsid w:val="00A14C87"/>
    <w:rsid w:val="00A17D25"/>
    <w:rsid w:val="00A252A1"/>
    <w:rsid w:val="00A3444C"/>
    <w:rsid w:val="00A477C7"/>
    <w:rsid w:val="00A60127"/>
    <w:rsid w:val="00A60834"/>
    <w:rsid w:val="00A77836"/>
    <w:rsid w:val="00A911EA"/>
    <w:rsid w:val="00A94EFC"/>
    <w:rsid w:val="00AA3DFB"/>
    <w:rsid w:val="00AB1F55"/>
    <w:rsid w:val="00AB67A1"/>
    <w:rsid w:val="00AD6278"/>
    <w:rsid w:val="00AF01AD"/>
    <w:rsid w:val="00AF0E4B"/>
    <w:rsid w:val="00AF40C1"/>
    <w:rsid w:val="00AF4EC6"/>
    <w:rsid w:val="00B15046"/>
    <w:rsid w:val="00B542C1"/>
    <w:rsid w:val="00B56FE7"/>
    <w:rsid w:val="00B57CF3"/>
    <w:rsid w:val="00B66A0C"/>
    <w:rsid w:val="00B77343"/>
    <w:rsid w:val="00B84F0A"/>
    <w:rsid w:val="00BB4A3B"/>
    <w:rsid w:val="00C02544"/>
    <w:rsid w:val="00C059C5"/>
    <w:rsid w:val="00C13BAA"/>
    <w:rsid w:val="00C151F5"/>
    <w:rsid w:val="00C271CC"/>
    <w:rsid w:val="00C3337E"/>
    <w:rsid w:val="00C44AEA"/>
    <w:rsid w:val="00C56201"/>
    <w:rsid w:val="00C65FB3"/>
    <w:rsid w:val="00C66507"/>
    <w:rsid w:val="00C809D1"/>
    <w:rsid w:val="00C83B88"/>
    <w:rsid w:val="00C91EDC"/>
    <w:rsid w:val="00CA0149"/>
    <w:rsid w:val="00CA7A80"/>
    <w:rsid w:val="00CB297D"/>
    <w:rsid w:val="00CB33BE"/>
    <w:rsid w:val="00CB713F"/>
    <w:rsid w:val="00CC4264"/>
    <w:rsid w:val="00CF527A"/>
    <w:rsid w:val="00D024E2"/>
    <w:rsid w:val="00D37198"/>
    <w:rsid w:val="00D41A4F"/>
    <w:rsid w:val="00D514DC"/>
    <w:rsid w:val="00D56346"/>
    <w:rsid w:val="00D57184"/>
    <w:rsid w:val="00DB0E6F"/>
    <w:rsid w:val="00DC31CA"/>
    <w:rsid w:val="00DD0902"/>
    <w:rsid w:val="00DD0CF1"/>
    <w:rsid w:val="00DD19C7"/>
    <w:rsid w:val="00DF74D4"/>
    <w:rsid w:val="00E10D44"/>
    <w:rsid w:val="00E21F37"/>
    <w:rsid w:val="00E30D33"/>
    <w:rsid w:val="00E31A03"/>
    <w:rsid w:val="00E35D03"/>
    <w:rsid w:val="00E52EAA"/>
    <w:rsid w:val="00E73D19"/>
    <w:rsid w:val="00E916C9"/>
    <w:rsid w:val="00E9524B"/>
    <w:rsid w:val="00EA4BC4"/>
    <w:rsid w:val="00EA5910"/>
    <w:rsid w:val="00EA7EAB"/>
    <w:rsid w:val="00EB058B"/>
    <w:rsid w:val="00EB3162"/>
    <w:rsid w:val="00ED3073"/>
    <w:rsid w:val="00ED3663"/>
    <w:rsid w:val="00ED7993"/>
    <w:rsid w:val="00EF51D7"/>
    <w:rsid w:val="00F45EBB"/>
    <w:rsid w:val="00F72508"/>
    <w:rsid w:val="00F84BDA"/>
    <w:rsid w:val="00F94F48"/>
    <w:rsid w:val="00F951F9"/>
    <w:rsid w:val="00FB329A"/>
    <w:rsid w:val="00FC371D"/>
    <w:rsid w:val="00FE178D"/>
    <w:rsid w:val="00FF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7BB60DD-B81F-4AA3-B3A5-534B89033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26D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unicatoData">
    <w:name w:val="ComunicatoData"/>
    <w:basedOn w:val="Normale"/>
    <w:qFormat/>
    <w:rsid w:val="0045733B"/>
    <w:pPr>
      <w:spacing w:after="240"/>
      <w:jc w:val="right"/>
    </w:pPr>
    <w:rPr>
      <w:rFonts w:asciiTheme="majorHAnsi" w:hAnsiTheme="majorHAnsi" w:cs="Arial"/>
      <w:smallCaps/>
      <w:color w:val="000080"/>
      <w:sz w:val="20"/>
      <w:szCs w:val="20"/>
    </w:rPr>
  </w:style>
  <w:style w:type="paragraph" w:customStyle="1" w:styleId="ComunicatoTitolo">
    <w:name w:val="ComunicatoTitolo"/>
    <w:basedOn w:val="ComunicatoData"/>
    <w:next w:val="Normale"/>
    <w:qFormat/>
    <w:rsid w:val="0045733B"/>
    <w:pPr>
      <w:spacing w:before="360" w:after="0"/>
      <w:jc w:val="left"/>
    </w:pPr>
    <w:rPr>
      <w:b/>
      <w:caps/>
      <w:smallCaps w:val="0"/>
      <w:sz w:val="40"/>
    </w:rPr>
  </w:style>
  <w:style w:type="paragraph" w:customStyle="1" w:styleId="ComunicatoSottotitolo">
    <w:name w:val="ComunicatoSottotitolo"/>
    <w:next w:val="ComunicatoTesto"/>
    <w:qFormat/>
    <w:rsid w:val="0045733B"/>
    <w:pPr>
      <w:spacing w:after="120" w:line="288" w:lineRule="auto"/>
    </w:pPr>
    <w:rPr>
      <w:rFonts w:asciiTheme="majorHAnsi" w:hAnsiTheme="majorHAnsi" w:cs="Arial"/>
      <w:b/>
      <w:i/>
      <w:color w:val="000080"/>
      <w:sz w:val="24"/>
    </w:rPr>
  </w:style>
  <w:style w:type="paragraph" w:customStyle="1" w:styleId="ComunicatoTesto">
    <w:name w:val="ComunicatoTesto"/>
    <w:basedOn w:val="Normale"/>
    <w:qFormat/>
    <w:rsid w:val="0045733B"/>
    <w:pPr>
      <w:spacing w:before="120" w:line="288" w:lineRule="auto"/>
    </w:pPr>
    <w:rPr>
      <w:rFonts w:asciiTheme="majorHAnsi" w:hAnsiTheme="majorHAnsi"/>
      <w:color w:val="000050"/>
    </w:rPr>
  </w:style>
  <w:style w:type="paragraph" w:styleId="Intestazione">
    <w:name w:val="header"/>
    <w:basedOn w:val="Normale"/>
    <w:link w:val="IntestazioneCarattere"/>
    <w:rsid w:val="006F1F2E"/>
    <w:pPr>
      <w:tabs>
        <w:tab w:val="center" w:pos="4819"/>
        <w:tab w:val="right" w:pos="9638"/>
      </w:tabs>
    </w:pPr>
  </w:style>
  <w:style w:type="character" w:customStyle="1" w:styleId="IntestazioneCarattere">
    <w:name w:val="Intestazione Carattere"/>
    <w:basedOn w:val="Carpredefinitoparagrafo"/>
    <w:link w:val="Intestazione"/>
    <w:rsid w:val="006F1F2E"/>
    <w:rPr>
      <w:sz w:val="24"/>
      <w:szCs w:val="24"/>
    </w:rPr>
  </w:style>
  <w:style w:type="paragraph" w:styleId="Pidipagina">
    <w:name w:val="footer"/>
    <w:basedOn w:val="Normale"/>
    <w:link w:val="PidipaginaCarattere"/>
    <w:uiPriority w:val="99"/>
    <w:rsid w:val="006F1F2E"/>
    <w:pPr>
      <w:tabs>
        <w:tab w:val="center" w:pos="4819"/>
        <w:tab w:val="right" w:pos="9638"/>
      </w:tabs>
    </w:pPr>
  </w:style>
  <w:style w:type="character" w:customStyle="1" w:styleId="PidipaginaCarattere">
    <w:name w:val="Piè di pagina Carattere"/>
    <w:basedOn w:val="Carpredefinitoparagrafo"/>
    <w:link w:val="Pidipagina"/>
    <w:uiPriority w:val="99"/>
    <w:rsid w:val="006F1F2E"/>
    <w:rPr>
      <w:sz w:val="24"/>
      <w:szCs w:val="24"/>
    </w:rPr>
  </w:style>
  <w:style w:type="paragraph" w:styleId="Corpotesto">
    <w:name w:val="Body Text"/>
    <w:basedOn w:val="Normale"/>
    <w:link w:val="CorpotestoCarattere"/>
    <w:rsid w:val="0045733B"/>
    <w:pPr>
      <w:spacing w:after="120"/>
    </w:pPr>
  </w:style>
  <w:style w:type="character" w:customStyle="1" w:styleId="CorpotestoCarattere">
    <w:name w:val="Corpo testo Carattere"/>
    <w:basedOn w:val="Carpredefinitoparagrafo"/>
    <w:link w:val="Corpotesto"/>
    <w:rsid w:val="0045733B"/>
    <w:rPr>
      <w:sz w:val="24"/>
      <w:szCs w:val="24"/>
    </w:rPr>
  </w:style>
  <w:style w:type="paragraph" w:styleId="Testofumetto">
    <w:name w:val="Balloon Text"/>
    <w:basedOn w:val="Normale"/>
    <w:link w:val="TestofumettoCarattere"/>
    <w:rsid w:val="00AF4EC6"/>
    <w:rPr>
      <w:rFonts w:ascii="Tahoma" w:hAnsi="Tahoma" w:cs="Tahoma"/>
      <w:sz w:val="16"/>
      <w:szCs w:val="16"/>
    </w:rPr>
  </w:style>
  <w:style w:type="character" w:customStyle="1" w:styleId="TestofumettoCarattere">
    <w:name w:val="Testo fumetto Carattere"/>
    <w:basedOn w:val="Carpredefinitoparagrafo"/>
    <w:link w:val="Testofumetto"/>
    <w:rsid w:val="00AF4EC6"/>
    <w:rPr>
      <w:rFonts w:ascii="Tahoma" w:hAnsi="Tahoma" w:cs="Tahoma"/>
      <w:sz w:val="16"/>
      <w:szCs w:val="16"/>
    </w:rPr>
  </w:style>
  <w:style w:type="paragraph" w:customStyle="1" w:styleId="ComunicatoParagrafo">
    <w:name w:val="ComunicatoParagrafo"/>
    <w:basedOn w:val="ComunicatoTesto"/>
    <w:next w:val="ComunicatoTesto"/>
    <w:qFormat/>
    <w:rsid w:val="00CB297D"/>
    <w:rPr>
      <w:b/>
      <w:i/>
      <w:caps/>
      <w:color w:val="000066"/>
    </w:rPr>
  </w:style>
  <w:style w:type="paragraph" w:customStyle="1" w:styleId="FooterEven">
    <w:name w:val="Footer Even"/>
    <w:basedOn w:val="Normale"/>
    <w:qFormat/>
    <w:rsid w:val="001A7841"/>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fr-FR"/>
    </w:rPr>
  </w:style>
  <w:style w:type="paragraph" w:customStyle="1" w:styleId="ComunicatoEXPOData">
    <w:name w:val="ComunicatoEXPO_Data"/>
    <w:basedOn w:val="ComunicatoData"/>
    <w:next w:val="ComunicatoEXPOTitolo"/>
    <w:autoRedefine/>
    <w:qFormat/>
    <w:rsid w:val="00166306"/>
    <w:pPr>
      <w:spacing w:after="0" w:line="288" w:lineRule="auto"/>
    </w:pPr>
    <w:rPr>
      <w:rFonts w:ascii="Segoe UI Light" w:hAnsi="Segoe UI Light" w:cs="Segoe UI Semilight"/>
      <w:smallCaps w:val="0"/>
      <w:color w:val="76777B"/>
      <w:szCs w:val="22"/>
    </w:rPr>
  </w:style>
  <w:style w:type="paragraph" w:customStyle="1" w:styleId="ComunicatoEXPOTitolo">
    <w:name w:val="ComunicatoEXPO_Titolo"/>
    <w:basedOn w:val="ComunicatoTitolo"/>
    <w:next w:val="ComunicatoEXPOSottotitolo"/>
    <w:qFormat/>
    <w:rsid w:val="00175C81"/>
    <w:pPr>
      <w:spacing w:before="120"/>
    </w:pPr>
    <w:rPr>
      <w:rFonts w:ascii="Segoe UI Light" w:hAnsi="Segoe UI Light" w:cs="Segoe UI Semilight"/>
      <w:color w:val="002443"/>
      <w:sz w:val="36"/>
      <w:szCs w:val="36"/>
    </w:rPr>
  </w:style>
  <w:style w:type="paragraph" w:customStyle="1" w:styleId="ComunicatoEXPOSottotitolo">
    <w:name w:val="ComunicatoEXPO_Sottotitolo"/>
    <w:basedOn w:val="ComunicatoSottotitolo"/>
    <w:next w:val="ComunicatoEXPOTesto"/>
    <w:qFormat/>
    <w:rsid w:val="00175C81"/>
    <w:pPr>
      <w:spacing w:after="240" w:line="240" w:lineRule="auto"/>
    </w:pPr>
    <w:rPr>
      <w:rFonts w:ascii="Segoe UI Light" w:hAnsi="Segoe UI Light" w:cs="Segoe UI Semilight"/>
      <w:color w:val="002443"/>
      <w:sz w:val="22"/>
      <w:szCs w:val="22"/>
    </w:rPr>
  </w:style>
  <w:style w:type="paragraph" w:customStyle="1" w:styleId="ComunicatoEXPOTesto">
    <w:name w:val="ComunicatoEXPO_Testo"/>
    <w:basedOn w:val="ComunicatoTesto"/>
    <w:qFormat/>
    <w:rsid w:val="00175C81"/>
    <w:pPr>
      <w:spacing w:line="240" w:lineRule="auto"/>
    </w:pPr>
    <w:rPr>
      <w:rFonts w:ascii="Segoe UI Light" w:hAnsi="Segoe UI Light" w:cs="Segoe UI Semilight"/>
      <w:noProof/>
      <w:color w:val="002443"/>
      <w:sz w:val="22"/>
      <w:szCs w:val="22"/>
    </w:rPr>
  </w:style>
  <w:style w:type="paragraph" w:customStyle="1" w:styleId="ComunicatoEXPOTestoTitolo">
    <w:name w:val="ComunicatoEXPO_TestoTitolo"/>
    <w:basedOn w:val="ComunicatoTesto"/>
    <w:next w:val="ComunicatoEXPOTesto"/>
    <w:autoRedefine/>
    <w:qFormat/>
    <w:rsid w:val="008705B0"/>
    <w:pPr>
      <w:spacing w:before="240" w:line="240" w:lineRule="auto"/>
    </w:pPr>
    <w:rPr>
      <w:rFonts w:ascii="Segoe UI Semilight" w:hAnsi="Segoe UI Semilight" w:cs="Segoe UI Semilight"/>
      <w:b/>
      <w:color w:val="00062F"/>
      <w:sz w:val="22"/>
      <w:szCs w:val="28"/>
    </w:rPr>
  </w:style>
  <w:style w:type="paragraph" w:customStyle="1" w:styleId="ComunicatoEXPOFooter">
    <w:name w:val="ComunicatoEXPO_Footer"/>
    <w:basedOn w:val="ComunicatoTesto"/>
    <w:qFormat/>
    <w:rsid w:val="006E191C"/>
    <w:pPr>
      <w:spacing w:before="0"/>
      <w:ind w:right="28"/>
      <w:jc w:val="center"/>
    </w:pPr>
    <w:rPr>
      <w:rFonts w:ascii="Segoe UI Semilight" w:hAnsi="Segoe UI Semilight" w:cs="Segoe UI Semilight"/>
      <w:color w:val="00062F"/>
      <w:spacing w:val="32"/>
      <w:sz w:val="15"/>
      <w:szCs w:val="15"/>
    </w:rPr>
  </w:style>
  <w:style w:type="character" w:styleId="Collegamentoipertestuale">
    <w:name w:val="Hyperlink"/>
    <w:basedOn w:val="Carpredefinitoparagrafo"/>
    <w:unhideWhenUsed/>
    <w:rsid w:val="005D2B0A"/>
    <w:rPr>
      <w:color w:val="0000FF" w:themeColor="hyperlink"/>
      <w:u w:val="single"/>
    </w:rPr>
  </w:style>
  <w:style w:type="character" w:styleId="Collegamentovisitato">
    <w:name w:val="FollowedHyperlink"/>
    <w:basedOn w:val="Carpredefinitoparagrafo"/>
    <w:semiHidden/>
    <w:unhideWhenUsed/>
    <w:rsid w:val="00483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twitter.com/GewissGroup" TargetMode="External"/><Relationship Id="rId3" Type="http://schemas.openxmlformats.org/officeDocument/2006/relationships/hyperlink" Target="file:///C:\Users\BonacDR\Desktop\www.gewiss.com" TargetMode="External"/><Relationship Id="rId7" Type="http://schemas.openxmlformats.org/officeDocument/2006/relationships/hyperlink" Target="https://www.linkedin.com/company/gewiss" TargetMode="External"/><Relationship Id="rId12" Type="http://schemas.openxmlformats.org/officeDocument/2006/relationships/image" Target="media/image6.png"/><Relationship Id="rId17" Type="http://schemas.openxmlformats.org/officeDocument/2006/relationships/image" Target="media/image9.png"/><Relationship Id="rId2" Type="http://schemas.openxmlformats.org/officeDocument/2006/relationships/hyperlink" Target="mailto:pressrelations@gewiss.com" TargetMode="External"/><Relationship Id="rId16" Type="http://schemas.openxmlformats.org/officeDocument/2006/relationships/image" Target="media/image8.png"/><Relationship Id="rId1" Type="http://schemas.openxmlformats.org/officeDocument/2006/relationships/hyperlink" Target="file:///C:\Users\BonacDR\Desktop\www.gewiss.com" TargetMode="External"/><Relationship Id="rId6" Type="http://schemas.openxmlformats.org/officeDocument/2006/relationships/image" Target="media/image3.png"/><Relationship Id="rId11" Type="http://schemas.openxmlformats.org/officeDocument/2006/relationships/hyperlink" Target="https://plus.google.com/+gewiss/posts" TargetMode="External"/><Relationship Id="rId5" Type="http://schemas.openxmlformats.org/officeDocument/2006/relationships/hyperlink" Target="https://instagram.com/gewissgroup/" TargetMode="External"/><Relationship Id="rId15" Type="http://schemas.openxmlformats.org/officeDocument/2006/relationships/hyperlink" Target="https://www.facebook.com/GEWISSGROUP" TargetMode="External"/><Relationship Id="rId10" Type="http://schemas.openxmlformats.org/officeDocument/2006/relationships/image" Target="media/image5.png"/><Relationship Id="rId4" Type="http://schemas.openxmlformats.org/officeDocument/2006/relationships/hyperlink" Target="mailto:pressrelations@gewiss.com" TargetMode="External"/><Relationship Id="rId9" Type="http://schemas.openxmlformats.org/officeDocument/2006/relationships/hyperlink" Target="https://www.youtube.com/user/GEWISStv" TargetMode="External"/><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UfficioStampa\Strumenti\Comunicati\99.Layout\2015\Template\E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E5D34-A0DB-4D43-BF8C-4BB6CCE00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emplate>
  <TotalTime>1</TotalTime>
  <Pages>1</Pages>
  <Words>248</Words>
  <Characters>1416</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DATA</vt:lpstr>
    </vt:vector>
  </TitlesOfParts>
  <Company>Gewiss spa</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BonacDR</dc:creator>
  <cp:lastModifiedBy>Leoni Ivan</cp:lastModifiedBy>
  <cp:revision>2</cp:revision>
  <cp:lastPrinted>2015-10-27T13:11:00Z</cp:lastPrinted>
  <dcterms:created xsi:type="dcterms:W3CDTF">2015-10-29T10:56:00Z</dcterms:created>
  <dcterms:modified xsi:type="dcterms:W3CDTF">2016-11-30T14:00:00Z</dcterms:modified>
</cp:coreProperties>
</file>