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1DD06" w14:textId="77777777" w:rsidR="00FD1289" w:rsidRPr="008D09D6" w:rsidRDefault="00FD1289" w:rsidP="00FD1289">
      <w:pPr>
        <w:pStyle w:val="ComunicatoEXPOTitolo"/>
        <w:rPr>
          <w:color w:val="auto"/>
        </w:rPr>
      </w:pPr>
      <w:bookmarkStart w:id="0" w:name="_GoBack"/>
      <w:bookmarkEnd w:id="0"/>
      <w:r w:rsidRPr="008D09D6">
        <w:rPr>
          <w:color w:val="auto"/>
        </w:rPr>
        <w:t>restart e restart autotest, la SICUREZZA AL CENTRO</w:t>
      </w:r>
    </w:p>
    <w:p w14:paraId="77E9106F" w14:textId="16DE9E66" w:rsidR="00FD1289" w:rsidRPr="008D09D6" w:rsidRDefault="00190A31" w:rsidP="00FD1289">
      <w:pPr>
        <w:pStyle w:val="ComunicatoEXPOSottotitolo"/>
        <w:rPr>
          <w:color w:val="auto"/>
        </w:rPr>
      </w:pPr>
      <w:r w:rsidRPr="008D09D6">
        <w:rPr>
          <w:noProof/>
          <w:color w:val="auto"/>
        </w:rPr>
        <w:drawing>
          <wp:anchor distT="0" distB="0" distL="114300" distR="114300" simplePos="0" relativeHeight="251663360" behindDoc="0" locked="0" layoutInCell="1" allowOverlap="1" wp14:anchorId="5C08E9F1" wp14:editId="5091C882">
            <wp:simplePos x="0" y="0"/>
            <wp:positionH relativeFrom="margin">
              <wp:posOffset>2391410</wp:posOffset>
            </wp:positionH>
            <wp:positionV relativeFrom="margin">
              <wp:posOffset>1057275</wp:posOffset>
            </wp:positionV>
            <wp:extent cx="1331595" cy="1331595"/>
            <wp:effectExtent l="0" t="0" r="1905" b="1905"/>
            <wp:wrapTopAndBottom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W90010948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09D6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DB5BD38" wp14:editId="07F4ACB1">
            <wp:simplePos x="0" y="0"/>
            <wp:positionH relativeFrom="margin">
              <wp:posOffset>226060</wp:posOffset>
            </wp:positionH>
            <wp:positionV relativeFrom="margin">
              <wp:posOffset>1057275</wp:posOffset>
            </wp:positionV>
            <wp:extent cx="1331595" cy="1331595"/>
            <wp:effectExtent l="0" t="0" r="1905" b="1905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W9001094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09D6">
        <w:rPr>
          <w:noProof/>
          <w:color w:val="auto"/>
        </w:rPr>
        <w:drawing>
          <wp:anchor distT="0" distB="0" distL="114300" distR="114300" simplePos="0" relativeHeight="251660288" behindDoc="0" locked="0" layoutInCell="1" allowOverlap="1" wp14:anchorId="7A255BCE" wp14:editId="566BFDCE">
            <wp:simplePos x="0" y="0"/>
            <wp:positionH relativeFrom="margin">
              <wp:posOffset>4550410</wp:posOffset>
            </wp:positionH>
            <wp:positionV relativeFrom="margin">
              <wp:posOffset>1038225</wp:posOffset>
            </wp:positionV>
            <wp:extent cx="1332000" cy="1332000"/>
            <wp:effectExtent l="0" t="0" r="1905" b="1905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W9001094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1289" w:rsidRPr="008D09D6">
        <w:rPr>
          <w:color w:val="auto"/>
        </w:rPr>
        <w:t>GEWISS presenta i dispositivi di protezione che garantiscono totale sicurezza alle persone ed efficienza continua all’impianto. Un sistema universale, adatto ad ogni contesto applicativo.</w:t>
      </w:r>
    </w:p>
    <w:p w14:paraId="006B460E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>Sviluppare e realizzare prodotti elettrotecnici vuol dire innanzitutto dare forma all’</w:t>
      </w:r>
      <w:r w:rsidRPr="008D09D6">
        <w:rPr>
          <w:b/>
          <w:color w:val="auto"/>
        </w:rPr>
        <w:t>idea di sicurezza</w:t>
      </w:r>
      <w:r w:rsidRPr="008D09D6">
        <w:rPr>
          <w:color w:val="auto"/>
        </w:rPr>
        <w:t xml:space="preserve">, mettendola sempre al centro dei canoni di sviluppo aziendale, prima di ogni altro obiettivo di business. E questo GEWISS lo sa. Nasce da questa consapevolezza la famiglia </w:t>
      </w:r>
      <w:r w:rsidRPr="008D09D6">
        <w:rPr>
          <w:b/>
          <w:color w:val="auto"/>
        </w:rPr>
        <w:t>ReStart</w:t>
      </w:r>
      <w:r w:rsidRPr="008D09D6">
        <w:rPr>
          <w:color w:val="auto"/>
        </w:rPr>
        <w:t xml:space="preserve">, una gamma di dispositivi differenziali evoluti che garantiscono totale sicurezza </w:t>
      </w:r>
      <w:r w:rsidRPr="008D09D6">
        <w:rPr>
          <w:b/>
          <w:color w:val="auto"/>
        </w:rPr>
        <w:t>in ogni contesto</w:t>
      </w:r>
      <w:r w:rsidRPr="008D09D6">
        <w:rPr>
          <w:color w:val="auto"/>
        </w:rPr>
        <w:t xml:space="preserve">, </w:t>
      </w:r>
      <w:r w:rsidRPr="008D09D6">
        <w:rPr>
          <w:b/>
          <w:color w:val="auto"/>
        </w:rPr>
        <w:t>residenziale</w:t>
      </w:r>
      <w:r w:rsidRPr="008D09D6">
        <w:rPr>
          <w:color w:val="auto"/>
        </w:rPr>
        <w:t xml:space="preserve">, </w:t>
      </w:r>
      <w:r w:rsidRPr="008D09D6">
        <w:rPr>
          <w:b/>
          <w:color w:val="auto"/>
        </w:rPr>
        <w:t>industriale</w:t>
      </w:r>
      <w:r w:rsidRPr="008D09D6">
        <w:rPr>
          <w:color w:val="auto"/>
        </w:rPr>
        <w:t xml:space="preserve"> e </w:t>
      </w:r>
      <w:r w:rsidRPr="008D09D6">
        <w:rPr>
          <w:b/>
          <w:color w:val="auto"/>
        </w:rPr>
        <w:t>terziario</w:t>
      </w:r>
      <w:r w:rsidRPr="008D09D6">
        <w:rPr>
          <w:color w:val="auto"/>
        </w:rPr>
        <w:t xml:space="preserve">, proteggendo cose e persone. Coniugandosi perfettamente con la </w:t>
      </w:r>
      <w:r w:rsidRPr="008D09D6">
        <w:rPr>
          <w:b/>
          <w:color w:val="auto"/>
        </w:rPr>
        <w:t>continuità di servizio</w:t>
      </w:r>
      <w:r w:rsidRPr="008D09D6">
        <w:rPr>
          <w:color w:val="auto"/>
        </w:rPr>
        <w:t>.</w:t>
      </w:r>
    </w:p>
    <w:p w14:paraId="2E6B34A5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 xml:space="preserve">L’idea di sicurezza concepita da GEWISS prende una duplice forma: con le soluzioni </w:t>
      </w:r>
      <w:r w:rsidRPr="008D09D6">
        <w:rPr>
          <w:b/>
          <w:color w:val="auto"/>
        </w:rPr>
        <w:t>ReStart</w:t>
      </w:r>
      <w:r w:rsidRPr="008D09D6">
        <w:rPr>
          <w:color w:val="auto"/>
        </w:rPr>
        <w:t xml:space="preserve">, che assicurano continuità di servizio, in caso di scatto intempestivo, riarmando l’interruttore differenziale solo dopo aver verificato che non ci siano guasti nell’impianto; con le soluzioni </w:t>
      </w:r>
      <w:r w:rsidRPr="008D09D6">
        <w:rPr>
          <w:b/>
          <w:color w:val="auto"/>
        </w:rPr>
        <w:t>ReStart Autotest PRO</w:t>
      </w:r>
      <w:r w:rsidRPr="008D09D6">
        <w:rPr>
          <w:color w:val="auto"/>
        </w:rPr>
        <w:t>, che offrono il massimo della sicurezza, effettuando un test automatico periodico del dispositivo differenziale, senza togliere tensione all’impianto.</w:t>
      </w:r>
    </w:p>
    <w:p w14:paraId="61CF6233" w14:textId="09B71124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>ReStart e ReStart Autotest PRO sono ideali anche per gli impianti non presidiati, garantendo continuità di servizio e riducendo le problematiche di manutenzione.</w:t>
      </w:r>
    </w:p>
    <w:p w14:paraId="6BF73613" w14:textId="60E0F85E" w:rsidR="00FD1289" w:rsidRPr="008D09D6" w:rsidRDefault="00FD1289" w:rsidP="00FD1289">
      <w:pPr>
        <w:pStyle w:val="ComunicatoEXPOTesto"/>
        <w:rPr>
          <w:b/>
          <w:color w:val="auto"/>
        </w:rPr>
      </w:pPr>
      <w:r w:rsidRPr="008D09D6">
        <w:rPr>
          <w:b/>
          <w:color w:val="auto"/>
        </w:rPr>
        <w:t>I vantaggi esclusivi di ReStart</w:t>
      </w:r>
    </w:p>
    <w:p w14:paraId="05E25C82" w14:textId="039964F9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 xml:space="preserve">ReStart garantisce il </w:t>
      </w:r>
      <w:r w:rsidRPr="008D09D6">
        <w:rPr>
          <w:b/>
          <w:color w:val="auto"/>
        </w:rPr>
        <w:t>riarmo automatico</w:t>
      </w:r>
      <w:r w:rsidRPr="008D09D6">
        <w:rPr>
          <w:color w:val="auto"/>
        </w:rPr>
        <w:t xml:space="preserve"> in caso di scatto intempestivo dell’interruttore, permettendo di evitare disagi e possibili danni in tutti gli ambiti (residenziale, terziario e industriale). I dispositivi ReStart ripristinano l’alimentazione solamente a seguito di un controllo sulla presenza di guasti nell’impianto. In questo modo, la sicurezza per cose e persone è sempre garantita e ogni pericolo di scossa elettrica è eliminato. </w:t>
      </w:r>
    </w:p>
    <w:p w14:paraId="64B22B3F" w14:textId="31A51999" w:rsidR="00190A31" w:rsidRDefault="00190A31" w:rsidP="00FD1289">
      <w:pPr>
        <w:pStyle w:val="ComunicatoEXPOTesto"/>
        <w:rPr>
          <w:color w:val="auto"/>
        </w:rPr>
      </w:pPr>
      <w:r w:rsidRPr="008D09D6">
        <w:rPr>
          <w:color w:val="auto"/>
        </w:rPr>
        <w:drawing>
          <wp:anchor distT="0" distB="0" distL="114300" distR="114300" simplePos="0" relativeHeight="251662336" behindDoc="0" locked="0" layoutInCell="1" allowOverlap="1" wp14:anchorId="73422411" wp14:editId="25D3C831">
            <wp:simplePos x="0" y="0"/>
            <wp:positionH relativeFrom="margin">
              <wp:align>right</wp:align>
            </wp:positionH>
            <wp:positionV relativeFrom="paragraph">
              <wp:posOffset>81280</wp:posOffset>
            </wp:positionV>
            <wp:extent cx="1332000" cy="1332000"/>
            <wp:effectExtent l="0" t="0" r="1905" b="1905"/>
            <wp:wrapSquare wrapText="bothSides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W9001094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289" w:rsidRPr="008D09D6">
        <w:rPr>
          <w:color w:val="auto"/>
        </w:rPr>
        <w:t>Inoltre ReStart è ancora più compatto: la versione  per impianti monofase occupa infatti un solo modulo DIN, garantendo la più ampia possibilita di installazione all’interno del centralino.</w:t>
      </w:r>
    </w:p>
    <w:p w14:paraId="1F1328E4" w14:textId="327CEFB5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>ReStart, poi, è ancora più veloce: tutte le versioni garantiscono controllo dell’impianto e riarmo dell’interruttore in soli 10 secondi.</w:t>
      </w:r>
    </w:p>
    <w:p w14:paraId="3D146F25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 xml:space="preserve">I dispositivi ReStart sono disponibili anche nelle </w:t>
      </w:r>
      <w:r w:rsidRPr="008D09D6">
        <w:rPr>
          <w:b/>
          <w:color w:val="auto"/>
        </w:rPr>
        <w:t>versioni PRO</w:t>
      </w:r>
      <w:r w:rsidRPr="008D09D6">
        <w:rPr>
          <w:color w:val="auto"/>
        </w:rPr>
        <w:t xml:space="preserve"> e nelle </w:t>
      </w:r>
      <w:r w:rsidRPr="008D09D6">
        <w:rPr>
          <w:b/>
          <w:color w:val="auto"/>
        </w:rPr>
        <w:t>versioni TOP</w:t>
      </w:r>
      <w:r w:rsidRPr="008D09D6">
        <w:rPr>
          <w:color w:val="auto"/>
        </w:rPr>
        <w:t>.</w:t>
      </w:r>
    </w:p>
    <w:p w14:paraId="53F8C0BF" w14:textId="7E04BFA0" w:rsidR="00FD1289" w:rsidRPr="008D09D6" w:rsidRDefault="00190A31" w:rsidP="00FD1289">
      <w:pPr>
        <w:pStyle w:val="ComunicatoEXPOTesto"/>
        <w:rPr>
          <w:color w:val="auto"/>
        </w:rPr>
      </w:pPr>
      <w:r w:rsidRPr="008D09D6">
        <w:rPr>
          <w:color w:val="auto"/>
        </w:rPr>
        <w:lastRenderedPageBreak/>
        <w:drawing>
          <wp:anchor distT="0" distB="0" distL="114300" distR="114300" simplePos="0" relativeHeight="251661312" behindDoc="0" locked="0" layoutInCell="1" allowOverlap="1" wp14:anchorId="6F280E41" wp14:editId="392A842D">
            <wp:simplePos x="0" y="0"/>
            <wp:positionH relativeFrom="margin">
              <wp:align>left</wp:align>
            </wp:positionH>
            <wp:positionV relativeFrom="paragraph">
              <wp:posOffset>44450</wp:posOffset>
            </wp:positionV>
            <wp:extent cx="1332000" cy="1332000"/>
            <wp:effectExtent l="0" t="0" r="1905" b="1905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W90010948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289" w:rsidRPr="008D09D6">
        <w:rPr>
          <w:color w:val="auto"/>
        </w:rPr>
        <w:t xml:space="preserve">Le versioni di ReStart PRO garantiscono protezione e controllo dell’impianto continui. Dopo lo scatto dell’interruttore, esse controllano lo stato di isolamento dell’impianto </w:t>
      </w:r>
      <w:r w:rsidR="00FD1289" w:rsidRPr="008D09D6">
        <w:rPr>
          <w:b/>
          <w:color w:val="auto"/>
        </w:rPr>
        <w:t>senza limiti di tempo</w:t>
      </w:r>
      <w:r w:rsidR="00FD1289" w:rsidRPr="008D09D6">
        <w:rPr>
          <w:color w:val="auto"/>
        </w:rPr>
        <w:t xml:space="preserve">, fino all’avvenuta estinzione del guasto, per poi riarmare in totale sicurezza. </w:t>
      </w:r>
    </w:p>
    <w:p w14:paraId="09074538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 xml:space="preserve">Le versioni TOP, invece, sono ideali per applicazioni terziarie e industriali. Consentono di </w:t>
      </w:r>
      <w:r w:rsidRPr="008D09D6">
        <w:rPr>
          <w:b/>
          <w:color w:val="auto"/>
        </w:rPr>
        <w:t>regolare tempi e modalità del riarmo</w:t>
      </w:r>
      <w:r w:rsidRPr="008D09D6">
        <w:rPr>
          <w:color w:val="auto"/>
        </w:rPr>
        <w:t xml:space="preserve"> automatico dell’interruttore, impostando il numero di tentativi e il tempo di ritardo del riarmo automatico.</w:t>
      </w:r>
    </w:p>
    <w:p w14:paraId="76F7230C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>Grazie alle sue peculiarità ReStart è utilizzato in differenti installazioni, dal residenziale al terziario, dall’industriale a applicazioni “speciali”. Affidabilità e continuità di servizio sono garantite anche per impianti installati in luoghi remoti, senza il bisogno di un dispendioso intervento tecnico anche in casi di falso allarme o di black-out temporaneo.</w:t>
      </w:r>
    </w:p>
    <w:p w14:paraId="02087BEC" w14:textId="77777777" w:rsidR="00FD1289" w:rsidRPr="008D09D6" w:rsidRDefault="00FD1289" w:rsidP="00FD1289">
      <w:pPr>
        <w:pStyle w:val="ComunicatoEXPOTesto"/>
        <w:rPr>
          <w:b/>
          <w:color w:val="auto"/>
        </w:rPr>
      </w:pPr>
      <w:r w:rsidRPr="008D09D6">
        <w:rPr>
          <w:b/>
          <w:color w:val="auto"/>
        </w:rPr>
        <w:t>I vantaggi esclusivi di ReStart Autotest PRO</w:t>
      </w:r>
    </w:p>
    <w:p w14:paraId="1A86CA41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 xml:space="preserve">ReStart Autotest PRO è l’unico dispositivo sul mercato in grado di effettuare il </w:t>
      </w:r>
      <w:r w:rsidRPr="008D09D6">
        <w:rPr>
          <w:b/>
          <w:color w:val="auto"/>
        </w:rPr>
        <w:t>test periodico</w:t>
      </w:r>
      <w:r w:rsidRPr="008D09D6">
        <w:rPr>
          <w:color w:val="auto"/>
        </w:rPr>
        <w:t xml:space="preserve"> di sicurezza del differenziale senza togliere tensione all’impianto. Tale funzione è garantita da speciali contatti di bypass brevettati da GEWISS. In questo modo si evitano tutti gli inconvenienti dovuti all’interruzione di elettricità o buchi di tensione.</w:t>
      </w:r>
    </w:p>
    <w:p w14:paraId="4009D7F6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>Gli apparecchi di questa versione eseguono il test ogni 28 giorni, garantendo all’utente il massimo della sicurezza e al dispositivo di protezione la totale efficienza. In questo modo si assicura la massima protezione differenziale anche per un periodo di tempo molto lungo.</w:t>
      </w:r>
    </w:p>
    <w:p w14:paraId="54AED9A0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 xml:space="preserve">I ReStart Autotest PRO, come i ReStart PRO, controllano lo stato di isolamento dell’impianto </w:t>
      </w:r>
      <w:r w:rsidRPr="008D09D6">
        <w:rPr>
          <w:b/>
          <w:color w:val="auto"/>
        </w:rPr>
        <w:t>senza limiti di tempo</w:t>
      </w:r>
    </w:p>
    <w:p w14:paraId="52DFA01F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>Per garantire un elevato grado di sicurezza in ogni ambito applicativo, infine, ReStart Autotest PRO è disponibile nelle versioni 2P e 4P per impianti di distribuzione monofase e trifase.</w:t>
      </w:r>
    </w:p>
    <w:p w14:paraId="680EACA9" w14:textId="6A683F4A" w:rsidR="00FD1289" w:rsidRPr="008D09D6" w:rsidRDefault="00FD1289" w:rsidP="00FD1289">
      <w:pPr>
        <w:pStyle w:val="ComunicatoEXPOTesto"/>
        <w:rPr>
          <w:b/>
          <w:color w:val="auto"/>
        </w:rPr>
      </w:pPr>
      <w:r w:rsidRPr="008D09D6">
        <w:rPr>
          <w:b/>
          <w:color w:val="auto"/>
        </w:rPr>
        <w:t>Modulo Wi-Fi e App Restart Wi-Fi: la sicurezza anche da remoto</w:t>
      </w:r>
    </w:p>
    <w:p w14:paraId="1602C2B6" w14:textId="3C50F2BE" w:rsidR="00FD1289" w:rsidRPr="008D09D6" w:rsidRDefault="00190A31" w:rsidP="00FD1289">
      <w:pPr>
        <w:pStyle w:val="ComunicatoEXPOTesto"/>
        <w:rPr>
          <w:color w:val="auto"/>
        </w:rPr>
      </w:pPr>
      <w:r w:rsidRPr="008D09D6">
        <w:rPr>
          <w:color w:val="auto"/>
        </w:rPr>
        <w:drawing>
          <wp:anchor distT="0" distB="0" distL="114300" distR="114300" simplePos="0" relativeHeight="251664384" behindDoc="0" locked="0" layoutInCell="1" allowOverlap="1" wp14:anchorId="1BA4FD81" wp14:editId="1F72406E">
            <wp:simplePos x="0" y="0"/>
            <wp:positionH relativeFrom="margin">
              <wp:posOffset>4320540</wp:posOffset>
            </wp:positionH>
            <wp:positionV relativeFrom="paragraph">
              <wp:posOffset>630555</wp:posOffset>
            </wp:positionV>
            <wp:extent cx="1799590" cy="1799590"/>
            <wp:effectExtent l="0" t="0" r="0" b="0"/>
            <wp:wrapSquare wrapText="bothSides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W90010948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289" w:rsidRPr="008D09D6">
        <w:rPr>
          <w:color w:val="auto"/>
        </w:rPr>
        <w:t xml:space="preserve">Lo specifico </w:t>
      </w:r>
      <w:r w:rsidR="00FD1289" w:rsidRPr="008D09D6">
        <w:rPr>
          <w:b/>
          <w:color w:val="auto"/>
        </w:rPr>
        <w:t>modulo Wi-Fi</w:t>
      </w:r>
      <w:r w:rsidR="00FD1289" w:rsidRPr="008D09D6">
        <w:rPr>
          <w:color w:val="auto"/>
        </w:rPr>
        <w:t xml:space="preserve"> associabile </w:t>
      </w:r>
      <w:r w:rsidR="00D02F40">
        <w:rPr>
          <w:color w:val="auto"/>
        </w:rPr>
        <w:t>alle versioni PRO</w:t>
      </w:r>
      <w:r w:rsidR="00FD1289" w:rsidRPr="008D09D6">
        <w:rPr>
          <w:color w:val="auto"/>
        </w:rPr>
        <w:t xml:space="preserve"> dei dispositivi permette di</w:t>
      </w:r>
      <w:r w:rsidR="00FD1289" w:rsidRPr="008D09D6">
        <w:rPr>
          <w:b/>
          <w:color w:val="auto"/>
        </w:rPr>
        <w:t xml:space="preserve"> monitorare</w:t>
      </w:r>
      <w:r w:rsidR="00FD1289" w:rsidRPr="008D09D6">
        <w:rPr>
          <w:color w:val="auto"/>
        </w:rPr>
        <w:t xml:space="preserve"> dovunque e in qualsiasi momento </w:t>
      </w:r>
      <w:r w:rsidR="00FD1289" w:rsidRPr="008D09D6">
        <w:rPr>
          <w:b/>
          <w:color w:val="auto"/>
        </w:rPr>
        <w:t>lo stato dell’impianto elettrico</w:t>
      </w:r>
      <w:r w:rsidR="00FD1289" w:rsidRPr="008D09D6">
        <w:rPr>
          <w:color w:val="auto"/>
        </w:rPr>
        <w:t xml:space="preserve">. In questo modo è possibile avere sotto controllo la misura dell’energia elettrica prodotta e consumata, la potenza attiva e reattiva, la corrente e la tensione dell’impianto. Nel caso di impianti con ReStart Autotest, inoltre, il modulo Wi-Fi è utile per </w:t>
      </w:r>
      <w:r w:rsidR="00FD1289" w:rsidRPr="008D09D6">
        <w:rPr>
          <w:b/>
          <w:color w:val="auto"/>
        </w:rPr>
        <w:t>testare in ogni istante il funzionamento della protezione differenziale</w:t>
      </w:r>
      <w:r w:rsidR="00FD1289" w:rsidRPr="008D09D6">
        <w:rPr>
          <w:color w:val="auto"/>
        </w:rPr>
        <w:t>.</w:t>
      </w:r>
    </w:p>
    <w:p w14:paraId="02F48881" w14:textId="77777777" w:rsidR="00FD1289" w:rsidRPr="008D09D6" w:rsidRDefault="00FD1289" w:rsidP="00FD1289">
      <w:pPr>
        <w:pStyle w:val="ComunicatoEXPOTesto"/>
        <w:rPr>
          <w:color w:val="auto"/>
        </w:rPr>
      </w:pPr>
      <w:r w:rsidRPr="008D09D6">
        <w:rPr>
          <w:color w:val="auto"/>
        </w:rPr>
        <w:t xml:space="preserve">La </w:t>
      </w:r>
      <w:r w:rsidRPr="008D09D6">
        <w:rPr>
          <w:b/>
          <w:color w:val="auto"/>
        </w:rPr>
        <w:t>App ReStart Wi-Fi</w:t>
      </w:r>
      <w:r w:rsidRPr="008D09D6">
        <w:rPr>
          <w:color w:val="auto"/>
        </w:rPr>
        <w:t>, collegata al relativo modulo, consente di controllare i dispositivi ReStart con un semplice tocco. Da smartphone e tablet è possibile infatti leggere in qualsiasi momento tutti i valori di stato associati al proprio impianto. La App, inoltre, non solo permette di lanciare da remoto un comando di Autotest, ma anche di visualizzare i dettagli relativi all’esito, alla data e all’ora di tutte le operazioni di Test effettuate nel tempo.</w:t>
      </w:r>
    </w:p>
    <w:p w14:paraId="0E0F2D96" w14:textId="4A25FFA0" w:rsidR="00A11923" w:rsidRPr="00FD1289" w:rsidRDefault="00A11923" w:rsidP="00FD1289"/>
    <w:sectPr w:rsidR="00A11923" w:rsidRPr="00FD1289" w:rsidSect="00166306">
      <w:headerReference w:type="default" r:id="rId14"/>
      <w:footerReference w:type="even" r:id="rId15"/>
      <w:footerReference w:type="default" r:id="rId16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0B6E3" w14:textId="77777777" w:rsidR="00AA6321" w:rsidRDefault="00AA6321" w:rsidP="006F1F2E">
      <w:r>
        <w:separator/>
      </w:r>
    </w:p>
  </w:endnote>
  <w:endnote w:type="continuationSeparator" w:id="0">
    <w:p w14:paraId="12B591D7" w14:textId="77777777" w:rsidR="00AA6321" w:rsidRDefault="00AA6321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37CF3F4A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3BF41" w14:textId="77777777" w:rsidR="00AA6321" w:rsidRDefault="00AA6321" w:rsidP="006F1F2E">
      <w:r>
        <w:separator/>
      </w:r>
    </w:p>
  </w:footnote>
  <w:footnote w:type="continuationSeparator" w:id="0">
    <w:p w14:paraId="4B994A27" w14:textId="77777777" w:rsidR="00AA6321" w:rsidRDefault="00AA6321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77777777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77777777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COMUNICATO 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3A2"/>
    <w:rsid w:val="001577CA"/>
    <w:rsid w:val="00160A3D"/>
    <w:rsid w:val="00165B5E"/>
    <w:rsid w:val="00166306"/>
    <w:rsid w:val="00171D98"/>
    <w:rsid w:val="00175C81"/>
    <w:rsid w:val="00190A31"/>
    <w:rsid w:val="001A1151"/>
    <w:rsid w:val="001A7841"/>
    <w:rsid w:val="001B4207"/>
    <w:rsid w:val="001C1DF0"/>
    <w:rsid w:val="001D0F60"/>
    <w:rsid w:val="001E4C56"/>
    <w:rsid w:val="0021529A"/>
    <w:rsid w:val="00215C92"/>
    <w:rsid w:val="00220A0F"/>
    <w:rsid w:val="0023247B"/>
    <w:rsid w:val="00241098"/>
    <w:rsid w:val="00243779"/>
    <w:rsid w:val="00260F67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C6F3C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2776"/>
    <w:rsid w:val="0048354B"/>
    <w:rsid w:val="00483BB5"/>
    <w:rsid w:val="00483CA0"/>
    <w:rsid w:val="004855E1"/>
    <w:rsid w:val="004C13D4"/>
    <w:rsid w:val="004E4932"/>
    <w:rsid w:val="00501043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6349C"/>
    <w:rsid w:val="00666A2E"/>
    <w:rsid w:val="00680C5B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60061"/>
    <w:rsid w:val="007759B2"/>
    <w:rsid w:val="00792AD6"/>
    <w:rsid w:val="007A3F9C"/>
    <w:rsid w:val="007B1075"/>
    <w:rsid w:val="007B7B1D"/>
    <w:rsid w:val="007D3144"/>
    <w:rsid w:val="007D7396"/>
    <w:rsid w:val="00801C71"/>
    <w:rsid w:val="008113DE"/>
    <w:rsid w:val="00825A3D"/>
    <w:rsid w:val="0082606D"/>
    <w:rsid w:val="0083623D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0562"/>
    <w:rsid w:val="00987069"/>
    <w:rsid w:val="00995EF3"/>
    <w:rsid w:val="009964F2"/>
    <w:rsid w:val="009977B5"/>
    <w:rsid w:val="009A2291"/>
    <w:rsid w:val="009A2FAA"/>
    <w:rsid w:val="009B65CE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A6321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A1166"/>
    <w:rsid w:val="00BB3D42"/>
    <w:rsid w:val="00BB4A3B"/>
    <w:rsid w:val="00BD36CC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02F40"/>
    <w:rsid w:val="00D12AE0"/>
    <w:rsid w:val="00D37198"/>
    <w:rsid w:val="00D41A4F"/>
    <w:rsid w:val="00D46371"/>
    <w:rsid w:val="00D514DC"/>
    <w:rsid w:val="00D56346"/>
    <w:rsid w:val="00D57184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D3073"/>
    <w:rsid w:val="00ED3663"/>
    <w:rsid w:val="00ED7993"/>
    <w:rsid w:val="00ED7FCF"/>
    <w:rsid w:val="00EF45D7"/>
    <w:rsid w:val="00EF51D7"/>
    <w:rsid w:val="00F00807"/>
    <w:rsid w:val="00F01105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1289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2" Type="http://schemas.openxmlformats.org/officeDocument/2006/relationships/image" Target="media/image8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10.png"/><Relationship Id="rId5" Type="http://schemas.openxmlformats.org/officeDocument/2006/relationships/hyperlink" Target="https://www.instagram.com/gewiss_italia/" TargetMode="External"/><Relationship Id="rId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09C4C-A040-42B7-88D4-6BD90754B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8</cp:revision>
  <cp:lastPrinted>2015-10-27T13:11:00Z</cp:lastPrinted>
  <dcterms:created xsi:type="dcterms:W3CDTF">2021-09-28T14:32:00Z</dcterms:created>
  <dcterms:modified xsi:type="dcterms:W3CDTF">2022-09-16T10:20:00Z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